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22"/>
          <w:szCs w:val="28"/>
        </w:rPr>
      </w:pPr>
      <w:r>
        <w:rPr>
          <w:rFonts w:hint="eastAsia" w:ascii="仿宋" w:hAnsi="仿宋" w:eastAsia="仿宋" w:cs="仿宋"/>
          <w:sz w:val="22"/>
          <w:szCs w:val="28"/>
        </w:rPr>
        <w:t>来源：教育部教师工作司，网址：http://www.moe.gov.cn/srcsite/A10/s7002/201409/t20140930_175746.html</w:t>
      </w:r>
    </w:p>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p>
    <w:p>
      <w:pPr>
        <w:jc w:val="center"/>
        <w:rPr>
          <w:rFonts w:hint="eastAsia" w:ascii="仿宋" w:hAnsi="仿宋" w:eastAsia="仿宋" w:cs="仿宋"/>
          <w:b/>
          <w:bCs/>
          <w:sz w:val="28"/>
          <w:szCs w:val="36"/>
        </w:rPr>
      </w:pPr>
      <w:r>
        <w:rPr>
          <w:rFonts w:hint="eastAsia" w:ascii="仿宋" w:hAnsi="仿宋" w:eastAsia="仿宋" w:cs="仿宋"/>
          <w:b/>
          <w:bCs/>
          <w:sz w:val="28"/>
          <w:szCs w:val="36"/>
        </w:rPr>
        <w:t>教育部关于建立健全高校师德建设长效机制的意见</w:t>
      </w:r>
    </w:p>
    <w:p>
      <w:pP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教师〔2014〕10号</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各省、自治区、直辖市教育厅（教委），有关部门（单位）教育司（局），新疆生产建设兵团教育局，部属各高等学校：</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一、深刻认识新时期建立健全高校师德建设长效机制的重要性和紧迫性</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二、建立健全高校师德建设长效机制的原则和要求</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三、建立健全高校师德建设长效机制的主要举措</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四、充分激发高校教师加强师德建设的自觉性</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五、切实明确高校师德建设工作的责任主体</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pPr>
        <w:rPr>
          <w:rFonts w:hint="eastAsia" w:ascii="仿宋" w:hAnsi="仿宋" w:eastAsia="仿宋" w:cs="仿宋"/>
          <w:sz w:val="22"/>
          <w:szCs w:val="28"/>
        </w:rPr>
      </w:pPr>
    </w:p>
    <w:p>
      <w:pPr>
        <w:rPr>
          <w:rFonts w:hint="eastAsia" w:ascii="仿宋" w:hAnsi="仿宋" w:eastAsia="仿宋" w:cs="仿宋"/>
          <w:sz w:val="22"/>
          <w:szCs w:val="28"/>
        </w:rPr>
      </w:pPr>
      <w:bookmarkStart w:id="0" w:name="_GoBack"/>
      <w:bookmarkEnd w:id="0"/>
      <w:r>
        <w:rPr>
          <w:rFonts w:hint="eastAsia" w:ascii="仿宋" w:hAnsi="仿宋" w:eastAsia="仿宋" w:cs="仿宋"/>
          <w:sz w:val="22"/>
          <w:szCs w:val="28"/>
        </w:rPr>
        <w:t>　　各地各校要根据实际制订具体的实施办法。</w:t>
      </w:r>
    </w:p>
    <w:p>
      <w:pPr>
        <w:rPr>
          <w:rFonts w:hint="eastAsia" w:ascii="仿宋" w:hAnsi="仿宋" w:eastAsia="仿宋" w:cs="仿宋"/>
          <w:sz w:val="22"/>
          <w:szCs w:val="28"/>
        </w:rPr>
      </w:pPr>
    </w:p>
    <w:p>
      <w:pPr>
        <w:jc w:val="right"/>
        <w:rPr>
          <w:rFonts w:hint="eastAsia" w:ascii="仿宋" w:hAnsi="仿宋" w:eastAsia="仿宋" w:cs="仿宋"/>
          <w:sz w:val="22"/>
          <w:szCs w:val="28"/>
        </w:rPr>
      </w:pPr>
      <w:r>
        <w:rPr>
          <w:rFonts w:hint="eastAsia" w:ascii="仿宋" w:hAnsi="仿宋" w:eastAsia="仿宋" w:cs="仿宋"/>
          <w:sz w:val="22"/>
          <w:szCs w:val="28"/>
        </w:rPr>
        <w:t>教育部</w:t>
      </w:r>
    </w:p>
    <w:p>
      <w:pPr>
        <w:jc w:val="right"/>
        <w:rPr>
          <w:rFonts w:hint="eastAsia" w:ascii="仿宋" w:hAnsi="仿宋" w:eastAsia="仿宋" w:cs="仿宋"/>
          <w:sz w:val="22"/>
          <w:szCs w:val="28"/>
        </w:rPr>
      </w:pPr>
    </w:p>
    <w:p>
      <w:pPr>
        <w:jc w:val="right"/>
        <w:rPr>
          <w:rFonts w:hint="eastAsia" w:ascii="仿宋" w:hAnsi="仿宋" w:eastAsia="仿宋" w:cs="仿宋"/>
          <w:sz w:val="22"/>
          <w:szCs w:val="28"/>
        </w:rPr>
      </w:pPr>
      <w:r>
        <w:rPr>
          <w:rFonts w:hint="eastAsia" w:ascii="仿宋" w:hAnsi="仿宋" w:eastAsia="仿宋" w:cs="仿宋"/>
          <w:sz w:val="22"/>
          <w:szCs w:val="28"/>
        </w:rPr>
        <w:t>2014年9月29日</w:t>
      </w:r>
    </w:p>
    <w:p>
      <w:pPr>
        <w:rPr>
          <w:rFonts w:hint="eastAsia" w:ascii="仿宋" w:hAnsi="仿宋" w:eastAsia="仿宋" w:cs="仿宋"/>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962CB"/>
    <w:rsid w:val="19A9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2017-12-18T01:36:00Z</dcterms:created>
  <dc:creator>王碧莹</dc:creator>
  <cp:lastModifiedBy>王碧莹</cp:lastModifiedBy>
  <dcterms:modified xsi:type="dcterms:W3CDTF">2017-12-18T01:40:17Z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